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34" w:rsidRDefault="00606560" w:rsidP="00606560">
      <w:pPr>
        <w:pStyle w:val="NoSpacing"/>
        <w:jc w:val="right"/>
        <w:rPr>
          <w:b/>
          <w:sz w:val="22"/>
        </w:rPr>
      </w:pPr>
      <w:r w:rsidRPr="00606560">
        <w:rPr>
          <w:b/>
          <w:sz w:val="22"/>
        </w:rPr>
        <w:t>Appendix 2</w:t>
      </w:r>
    </w:p>
    <w:p w:rsidR="00CD3411" w:rsidRPr="00CD3411" w:rsidRDefault="00CD3411" w:rsidP="00CD3411">
      <w:pPr>
        <w:pStyle w:val="NoSpacing"/>
        <w:jc w:val="center"/>
        <w:rPr>
          <w:b/>
          <w:sz w:val="22"/>
          <w:u w:val="single"/>
        </w:rPr>
      </w:pPr>
      <w:r w:rsidRPr="00CD3411">
        <w:rPr>
          <w:b/>
          <w:sz w:val="22"/>
          <w:u w:val="single"/>
        </w:rPr>
        <w:t>Action Plan</w:t>
      </w:r>
    </w:p>
    <w:p w:rsidR="003A7AE1" w:rsidRDefault="003A7AE1" w:rsidP="007B11B8">
      <w:pPr>
        <w:pStyle w:val="NoSpacing"/>
      </w:pPr>
      <w:bookmarkStart w:id="0" w:name="_GoBack"/>
      <w:bookmarkEnd w:id="0"/>
    </w:p>
    <w:p w:rsidR="003A7AE1" w:rsidRDefault="003A7AE1" w:rsidP="007B11B8">
      <w:pPr>
        <w:pStyle w:val="NoSpacing"/>
      </w:pPr>
    </w:p>
    <w:tbl>
      <w:tblPr>
        <w:tblStyle w:val="TableGrid"/>
        <w:tblW w:w="9776" w:type="dxa"/>
        <w:tblLook w:val="04A0" w:firstRow="1" w:lastRow="0" w:firstColumn="1" w:lastColumn="0" w:noHBand="0" w:noVBand="1"/>
      </w:tblPr>
      <w:tblGrid>
        <w:gridCol w:w="936"/>
        <w:gridCol w:w="3170"/>
        <w:gridCol w:w="2763"/>
        <w:gridCol w:w="1268"/>
        <w:gridCol w:w="1639"/>
      </w:tblGrid>
      <w:tr w:rsidR="009504C0" w:rsidRPr="00B5257C" w:rsidTr="009504C0">
        <w:trPr>
          <w:trHeight w:val="723"/>
        </w:trPr>
        <w:tc>
          <w:tcPr>
            <w:tcW w:w="936" w:type="dxa"/>
            <w:shd w:val="clear" w:color="auto" w:fill="25ADCE" w:themeFill="accent4" w:themeFillShade="BF"/>
          </w:tcPr>
          <w:p w:rsidR="00D925A0" w:rsidRPr="00B5257C" w:rsidRDefault="00D925A0" w:rsidP="007F0B5A">
            <w:pPr>
              <w:pStyle w:val="NoSpacing"/>
              <w:rPr>
                <w:color w:val="FFFFFF" w:themeColor="background1"/>
                <w:szCs w:val="20"/>
              </w:rPr>
            </w:pPr>
            <w:r w:rsidRPr="00B5257C">
              <w:rPr>
                <w:color w:val="FFFFFF" w:themeColor="background1"/>
                <w:szCs w:val="20"/>
              </w:rPr>
              <w:t>Finding</w:t>
            </w:r>
          </w:p>
        </w:tc>
        <w:tc>
          <w:tcPr>
            <w:tcW w:w="3170" w:type="dxa"/>
            <w:shd w:val="clear" w:color="auto" w:fill="25ADCE" w:themeFill="accent4" w:themeFillShade="BF"/>
          </w:tcPr>
          <w:p w:rsidR="00D925A0" w:rsidRPr="00B5257C" w:rsidRDefault="00D925A0" w:rsidP="007F0B5A">
            <w:pPr>
              <w:pStyle w:val="NoSpacing"/>
              <w:rPr>
                <w:color w:val="FFFFFF" w:themeColor="background1"/>
                <w:szCs w:val="20"/>
              </w:rPr>
            </w:pPr>
            <w:r w:rsidRPr="00B5257C">
              <w:rPr>
                <w:color w:val="FFFFFF" w:themeColor="background1"/>
                <w:szCs w:val="20"/>
              </w:rPr>
              <w:t>Recommendation</w:t>
            </w:r>
          </w:p>
          <w:p w:rsidR="00D925A0" w:rsidRPr="00B5257C" w:rsidRDefault="00D925A0" w:rsidP="007F0B5A">
            <w:pPr>
              <w:jc w:val="right"/>
              <w:rPr>
                <w:color w:val="FFFFFF" w:themeColor="background1"/>
                <w:szCs w:val="20"/>
              </w:rPr>
            </w:pPr>
          </w:p>
        </w:tc>
        <w:tc>
          <w:tcPr>
            <w:tcW w:w="2763" w:type="dxa"/>
            <w:shd w:val="clear" w:color="auto" w:fill="25ADCE" w:themeFill="accent4" w:themeFillShade="BF"/>
          </w:tcPr>
          <w:p w:rsidR="00D925A0" w:rsidRPr="00B5257C" w:rsidRDefault="00D925A0" w:rsidP="007F0B5A">
            <w:pPr>
              <w:pStyle w:val="NoSpacing"/>
              <w:rPr>
                <w:color w:val="FFFFFF" w:themeColor="background1"/>
                <w:szCs w:val="20"/>
              </w:rPr>
            </w:pPr>
            <w:r w:rsidRPr="00B5257C">
              <w:rPr>
                <w:color w:val="FFFFFF" w:themeColor="background1"/>
                <w:szCs w:val="20"/>
              </w:rPr>
              <w:t>Management Response</w:t>
            </w:r>
          </w:p>
        </w:tc>
        <w:tc>
          <w:tcPr>
            <w:tcW w:w="1268" w:type="dxa"/>
            <w:shd w:val="clear" w:color="auto" w:fill="25ADCE" w:themeFill="accent4" w:themeFillShade="BF"/>
          </w:tcPr>
          <w:p w:rsidR="00D925A0" w:rsidRPr="00B5257C" w:rsidRDefault="00D925A0" w:rsidP="007F0B5A">
            <w:pPr>
              <w:pStyle w:val="NoSpacing"/>
              <w:rPr>
                <w:color w:val="FFFFFF" w:themeColor="background1"/>
                <w:szCs w:val="20"/>
              </w:rPr>
            </w:pPr>
            <w:r w:rsidRPr="00B5257C">
              <w:rPr>
                <w:color w:val="FFFFFF" w:themeColor="background1"/>
                <w:szCs w:val="20"/>
              </w:rPr>
              <w:t>Responsible Officer</w:t>
            </w:r>
          </w:p>
        </w:tc>
        <w:tc>
          <w:tcPr>
            <w:tcW w:w="1639" w:type="dxa"/>
            <w:shd w:val="clear" w:color="auto" w:fill="25ADCE" w:themeFill="accent4" w:themeFillShade="BF"/>
          </w:tcPr>
          <w:p w:rsidR="00D925A0" w:rsidRPr="00B5257C" w:rsidRDefault="009504C0" w:rsidP="007F0B5A">
            <w:pPr>
              <w:pStyle w:val="NoSpacing"/>
              <w:rPr>
                <w:color w:val="FFFFFF" w:themeColor="background1"/>
                <w:szCs w:val="20"/>
              </w:rPr>
            </w:pPr>
            <w:r>
              <w:rPr>
                <w:color w:val="FFFFFF" w:themeColor="background1"/>
                <w:szCs w:val="20"/>
              </w:rPr>
              <w:t>Implementation Date</w:t>
            </w:r>
          </w:p>
        </w:tc>
      </w:tr>
      <w:tr w:rsidR="009504C0" w:rsidRPr="00B5257C" w:rsidTr="009504C0">
        <w:tc>
          <w:tcPr>
            <w:tcW w:w="936" w:type="dxa"/>
            <w:shd w:val="clear" w:color="auto" w:fill="DBCFC9" w:themeFill="background2" w:themeFillShade="E6"/>
          </w:tcPr>
          <w:p w:rsidR="00D925A0" w:rsidRPr="00B5257C" w:rsidRDefault="00D925A0" w:rsidP="007F0B5A">
            <w:pPr>
              <w:pStyle w:val="NormalXX"/>
              <w:ind w:left="720"/>
              <w:rPr>
                <w:rFonts w:cs="Arial"/>
                <w:color w:val="000000"/>
              </w:rPr>
            </w:pPr>
          </w:p>
          <w:p w:rsidR="00D925A0" w:rsidRPr="00B5257C" w:rsidRDefault="00D925A0" w:rsidP="007F0B5A">
            <w:pPr>
              <w:rPr>
                <w:lang w:eastAsia="en-GB"/>
              </w:rPr>
            </w:pPr>
            <w:r w:rsidRPr="00B5257C">
              <w:rPr>
                <w:lang w:eastAsia="en-GB"/>
              </w:rPr>
              <w:t>1</w:t>
            </w:r>
          </w:p>
        </w:tc>
        <w:tc>
          <w:tcPr>
            <w:tcW w:w="3170" w:type="dxa"/>
            <w:shd w:val="clear" w:color="auto" w:fill="DBCFC9" w:themeFill="background2" w:themeFillShade="E6"/>
          </w:tcPr>
          <w:p w:rsidR="00D925A0" w:rsidRPr="00B5257C" w:rsidRDefault="00D925A0" w:rsidP="007F0B5A">
            <w:pPr>
              <w:pStyle w:val="NormalXX"/>
              <w:rPr>
                <w:rFonts w:cs="Arial"/>
                <w:b/>
                <w:color w:val="000000"/>
              </w:rPr>
            </w:pPr>
            <w:r w:rsidRPr="00B5257C">
              <w:rPr>
                <w:rFonts w:cs="Arial"/>
                <w:b/>
                <w:color w:val="000000"/>
              </w:rPr>
              <w:t>Consistency of Understanding Around Risk Ratings</w:t>
            </w:r>
          </w:p>
          <w:p w:rsidR="00D925A0" w:rsidRPr="00B5257C" w:rsidRDefault="00D925A0" w:rsidP="007F0B5A">
            <w:pPr>
              <w:pStyle w:val="NormalXX"/>
              <w:rPr>
                <w:rFonts w:cs="Arial"/>
                <w:color w:val="000000"/>
              </w:rPr>
            </w:pPr>
          </w:p>
          <w:p w:rsidR="00D925A0" w:rsidRPr="00B5257C" w:rsidRDefault="00D925A0" w:rsidP="007F0B5A">
            <w:pPr>
              <w:pStyle w:val="NormalXX"/>
              <w:rPr>
                <w:rFonts w:cs="Arial"/>
                <w:color w:val="000000"/>
              </w:rPr>
            </w:pPr>
            <w:r w:rsidRPr="00B5257C">
              <w:rPr>
                <w:rFonts w:cs="Arial"/>
                <w:color w:val="000000"/>
              </w:rPr>
              <w:t xml:space="preserve">The Risk Group should be re-established and it should re-assess the </w:t>
            </w:r>
            <w:proofErr w:type="spellStart"/>
            <w:r w:rsidRPr="00B5257C">
              <w:rPr>
                <w:rFonts w:cs="Arial"/>
                <w:color w:val="000000"/>
              </w:rPr>
              <w:t>CorVu</w:t>
            </w:r>
            <w:proofErr w:type="spellEnd"/>
            <w:r w:rsidRPr="00B5257C">
              <w:rPr>
                <w:rFonts w:cs="Arial"/>
                <w:color w:val="000000"/>
              </w:rPr>
              <w:t xml:space="preserve"> risks scored in light of this review to achieve consistency in the application of gross/net scores (or re-define its current method). Example Terms of Reference can be found at Appendix V. The Council should consider expanding its risk appetite statement in line with the COSO approach, detailed in Appendix III.</w:t>
            </w:r>
          </w:p>
          <w:p w:rsidR="00D925A0" w:rsidRPr="00B5257C" w:rsidRDefault="00D925A0" w:rsidP="007F0B5A">
            <w:pPr>
              <w:pStyle w:val="NormalXX"/>
              <w:rPr>
                <w:rFonts w:cs="Arial"/>
                <w:color w:val="000000"/>
              </w:rPr>
            </w:pPr>
          </w:p>
          <w:p w:rsidR="00D925A0" w:rsidRPr="00B5257C" w:rsidRDefault="00D925A0" w:rsidP="007F0B5A">
            <w:pPr>
              <w:pStyle w:val="NormalXX"/>
              <w:rPr>
                <w:rFonts w:cs="Arial"/>
                <w:color w:val="000000"/>
              </w:rPr>
            </w:pPr>
          </w:p>
          <w:p w:rsidR="00D925A0" w:rsidRPr="00B5257C" w:rsidRDefault="00D925A0" w:rsidP="007F0B5A">
            <w:pPr>
              <w:pStyle w:val="NormalXX"/>
              <w:rPr>
                <w:rFonts w:cs="Arial"/>
                <w:color w:val="000000"/>
              </w:rPr>
            </w:pPr>
          </w:p>
          <w:p w:rsidR="00D925A0" w:rsidRPr="00B5257C" w:rsidRDefault="00D925A0" w:rsidP="007F0B5A">
            <w:pPr>
              <w:pStyle w:val="NormalXX"/>
            </w:pPr>
          </w:p>
          <w:p w:rsidR="00D925A0" w:rsidRPr="00B5257C" w:rsidRDefault="00D925A0" w:rsidP="007F0B5A">
            <w:pPr>
              <w:pStyle w:val="NormalXX"/>
            </w:pPr>
          </w:p>
        </w:tc>
        <w:tc>
          <w:tcPr>
            <w:tcW w:w="2763" w:type="dxa"/>
            <w:shd w:val="clear" w:color="auto" w:fill="DBCFC9" w:themeFill="background2" w:themeFillShade="E6"/>
          </w:tcPr>
          <w:p w:rsidR="00D925A0" w:rsidRPr="00B5257C" w:rsidRDefault="00D925A0" w:rsidP="007F0B5A">
            <w:pPr>
              <w:pStyle w:val="TabletextL"/>
              <w:rPr>
                <w:color w:val="auto"/>
              </w:rPr>
            </w:pPr>
            <w:r w:rsidRPr="00B5257C">
              <w:rPr>
                <w:color w:val="auto"/>
              </w:rPr>
              <w:t xml:space="preserve">The Risk Group is in the process of being reconstituted and membership thereof reviewed.  New terms of reference are being drawn up. </w:t>
            </w:r>
          </w:p>
          <w:p w:rsidR="00D925A0" w:rsidRPr="00B5257C" w:rsidRDefault="00D925A0" w:rsidP="007F0B5A">
            <w:pPr>
              <w:pStyle w:val="TabletextL"/>
              <w:rPr>
                <w:color w:val="auto"/>
              </w:rPr>
            </w:pPr>
          </w:p>
          <w:p w:rsidR="00D925A0" w:rsidRPr="00B5257C" w:rsidRDefault="00D925A0" w:rsidP="007F0B5A">
            <w:pPr>
              <w:pStyle w:val="TabletextL"/>
              <w:rPr>
                <w:color w:val="auto"/>
              </w:rPr>
            </w:pPr>
          </w:p>
          <w:p w:rsidR="00D925A0" w:rsidRPr="00B5257C" w:rsidRDefault="00D925A0" w:rsidP="007F0B5A">
            <w:pPr>
              <w:pStyle w:val="TabletextL"/>
              <w:rPr>
                <w:color w:val="auto"/>
              </w:rPr>
            </w:pPr>
            <w:r w:rsidRPr="00B5257C">
              <w:rPr>
                <w:color w:val="auto"/>
              </w:rPr>
              <w:t>The Risk Group will review service risk registers on a rolling programme for consistency, wording and completeness</w:t>
            </w:r>
          </w:p>
          <w:p w:rsidR="00D925A0" w:rsidRPr="00B5257C" w:rsidRDefault="00D925A0" w:rsidP="007F0B5A">
            <w:pPr>
              <w:pStyle w:val="TabletextL"/>
              <w:rPr>
                <w:color w:val="auto"/>
              </w:rPr>
            </w:pPr>
          </w:p>
          <w:p w:rsidR="00D925A0" w:rsidRPr="00B5257C" w:rsidRDefault="00D925A0" w:rsidP="007F0B5A">
            <w:pPr>
              <w:pStyle w:val="TabletextL"/>
              <w:rPr>
                <w:color w:val="auto"/>
              </w:rPr>
            </w:pPr>
            <w:r w:rsidRPr="00B5257C">
              <w:rPr>
                <w:rFonts w:cs="Arial"/>
                <w:color w:val="000000"/>
                <w:szCs w:val="20"/>
              </w:rPr>
              <w:t>The next iteration of the risk management strategy will clarify the risk rating definitions and then this will be followed up with training</w:t>
            </w:r>
          </w:p>
          <w:p w:rsidR="00D925A0" w:rsidRPr="00B5257C" w:rsidRDefault="00D925A0" w:rsidP="007F0B5A">
            <w:pPr>
              <w:pStyle w:val="NoSpacing"/>
            </w:pPr>
          </w:p>
        </w:tc>
        <w:tc>
          <w:tcPr>
            <w:tcW w:w="1268" w:type="dxa"/>
            <w:shd w:val="clear" w:color="auto" w:fill="DBCFC9" w:themeFill="background2" w:themeFillShade="E6"/>
          </w:tcPr>
          <w:p w:rsidR="00D925A0" w:rsidRPr="00B5257C" w:rsidRDefault="00D925A0" w:rsidP="007F0B5A">
            <w:pPr>
              <w:pStyle w:val="NoSpacing"/>
            </w:pPr>
            <w:r w:rsidRPr="00B5257C">
              <w:t>Bill Lewis</w:t>
            </w: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9504C0" w:rsidRDefault="009504C0" w:rsidP="007F0B5A">
            <w:pPr>
              <w:pStyle w:val="NoSpacing"/>
            </w:pPr>
          </w:p>
          <w:p w:rsidR="00D925A0" w:rsidRPr="00B5257C" w:rsidRDefault="00D925A0" w:rsidP="007F0B5A">
            <w:pPr>
              <w:pStyle w:val="NoSpacing"/>
            </w:pPr>
            <w:r w:rsidRPr="00B5257C">
              <w:t>Bill Lewis</w:t>
            </w: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r w:rsidRPr="00B5257C">
              <w:t>Bill Lewis</w:t>
            </w:r>
          </w:p>
        </w:tc>
        <w:tc>
          <w:tcPr>
            <w:tcW w:w="1639" w:type="dxa"/>
            <w:shd w:val="clear" w:color="auto" w:fill="DBCFC9" w:themeFill="background2" w:themeFillShade="E6"/>
          </w:tcPr>
          <w:p w:rsidR="00D925A0" w:rsidRPr="00B5257C" w:rsidRDefault="00D925A0" w:rsidP="007F0B5A">
            <w:pPr>
              <w:pStyle w:val="NoSpacing"/>
            </w:pPr>
            <w:r w:rsidRPr="00B5257C">
              <w:t>November 2018</w:t>
            </w: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9504C0" w:rsidRDefault="009504C0" w:rsidP="007F0B5A">
            <w:pPr>
              <w:pStyle w:val="NoSpacing"/>
            </w:pPr>
          </w:p>
          <w:p w:rsidR="009504C0" w:rsidRDefault="009504C0" w:rsidP="007F0B5A">
            <w:pPr>
              <w:pStyle w:val="NoSpacing"/>
            </w:pPr>
          </w:p>
          <w:p w:rsidR="00D925A0" w:rsidRPr="00B5257C" w:rsidRDefault="00D925A0" w:rsidP="007F0B5A">
            <w:pPr>
              <w:pStyle w:val="NoSpacing"/>
            </w:pPr>
            <w:r w:rsidRPr="00B5257C">
              <w:t>December 2018</w:t>
            </w: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D925A0" w:rsidRPr="00B5257C" w:rsidRDefault="00D925A0" w:rsidP="007F0B5A">
            <w:pPr>
              <w:pStyle w:val="NoSpacing"/>
            </w:pPr>
          </w:p>
          <w:p w:rsidR="009504C0" w:rsidRDefault="009504C0" w:rsidP="007F0B5A">
            <w:pPr>
              <w:pStyle w:val="NoSpacing"/>
            </w:pPr>
          </w:p>
          <w:p w:rsidR="00D925A0" w:rsidRPr="00B5257C" w:rsidRDefault="00D925A0" w:rsidP="007F0B5A">
            <w:pPr>
              <w:pStyle w:val="NoSpacing"/>
            </w:pPr>
            <w:r w:rsidRPr="00B5257C">
              <w:t>March 2019</w:t>
            </w:r>
          </w:p>
        </w:tc>
      </w:tr>
      <w:tr w:rsidR="009504C0" w:rsidRPr="00B5257C" w:rsidTr="009504C0">
        <w:tc>
          <w:tcPr>
            <w:tcW w:w="936" w:type="dxa"/>
            <w:shd w:val="clear" w:color="auto" w:fill="DBCFC9" w:themeFill="background2" w:themeFillShade="E6"/>
          </w:tcPr>
          <w:p w:rsidR="00D925A0" w:rsidRPr="00B5257C" w:rsidRDefault="00D925A0" w:rsidP="007F0B5A">
            <w:pPr>
              <w:pStyle w:val="NoSpacing"/>
            </w:pPr>
            <w:r w:rsidRPr="00B5257C">
              <w:t>2</w:t>
            </w:r>
          </w:p>
        </w:tc>
        <w:tc>
          <w:tcPr>
            <w:tcW w:w="3170" w:type="dxa"/>
            <w:shd w:val="clear" w:color="auto" w:fill="DBCFC9" w:themeFill="background2" w:themeFillShade="E6"/>
          </w:tcPr>
          <w:p w:rsidR="00D925A0" w:rsidRPr="00B5257C" w:rsidRDefault="00D925A0" w:rsidP="007F0B5A">
            <w:pPr>
              <w:pStyle w:val="NoSpacing"/>
              <w:rPr>
                <w:b/>
              </w:rPr>
            </w:pPr>
            <w:r w:rsidRPr="00B5257C">
              <w:rPr>
                <w:b/>
              </w:rPr>
              <w:t>Corporate Risk Register</w:t>
            </w:r>
          </w:p>
          <w:p w:rsidR="00D925A0" w:rsidRPr="00B5257C" w:rsidRDefault="00D925A0" w:rsidP="007F0B5A">
            <w:pPr>
              <w:pStyle w:val="NoSpacing"/>
            </w:pPr>
          </w:p>
          <w:p w:rsidR="00D925A0" w:rsidRPr="00B5257C" w:rsidRDefault="00D925A0" w:rsidP="007F0B5A">
            <w:pPr>
              <w:pStyle w:val="NoSpacing"/>
            </w:pPr>
            <w:r w:rsidRPr="00B5257C">
              <w:t>The risk wording and mitigating controls should be reviewed and potentially reworded. If, from the benchmarking information provided the Council feels that any areas have been neglected on the risk register, it may wish to add new risks.</w:t>
            </w:r>
          </w:p>
        </w:tc>
        <w:tc>
          <w:tcPr>
            <w:tcW w:w="2763" w:type="dxa"/>
            <w:shd w:val="clear" w:color="auto" w:fill="DBCFC9" w:themeFill="background2" w:themeFillShade="E6"/>
          </w:tcPr>
          <w:p w:rsidR="00D925A0" w:rsidRPr="00B5257C" w:rsidRDefault="00D925A0" w:rsidP="007F0B5A">
            <w:pPr>
              <w:pStyle w:val="TabletextL"/>
              <w:rPr>
                <w:color w:val="auto"/>
              </w:rPr>
            </w:pPr>
            <w:r w:rsidRPr="00B5257C">
              <w:rPr>
                <w:vanish/>
                <w:color w:val="auto"/>
              </w:rPr>
              <w:t>&lt;D_1&gt;Insert(</w:t>
            </w:r>
            <w:proofErr w:type="spellStart"/>
            <w:r w:rsidRPr="00B5257C">
              <w:rPr>
                <w:vanish/>
                <w:color w:val="auto"/>
              </w:rPr>
              <w:t>GetColumn</w:t>
            </w:r>
            <w:proofErr w:type="spellEnd"/>
            <w:r w:rsidRPr="00B5257C">
              <w:rPr>
                <w:vanish/>
                <w:color w:val="auto"/>
              </w:rPr>
              <w:t>(“</w:t>
            </w:r>
            <w:proofErr w:type="spellStart"/>
            <w:r w:rsidRPr="00B5257C">
              <w:rPr>
                <w:vanish/>
                <w:color w:val="auto"/>
              </w:rPr>
              <w:t>ActionsRef</w:t>
            </w:r>
            <w:proofErr w:type="spellEnd"/>
            <w:r w:rsidRPr="00B5257C">
              <w:rPr>
                <w:vanish/>
                <w:color w:val="auto"/>
              </w:rPr>
              <w:t>”))&lt;</w:t>
            </w:r>
            <w:proofErr w:type="spellStart"/>
            <w:r w:rsidRPr="00B5257C">
              <w:rPr>
                <w:vanish/>
                <w:color w:val="auto"/>
              </w:rPr>
              <w:t>i</w:t>
            </w:r>
            <w:proofErr w:type="spellEnd"/>
            <w:r w:rsidRPr="00B5257C">
              <w:rPr>
                <w:vanish/>
                <w:color w:val="auto"/>
              </w:rPr>
              <w:t>&gt;&lt;/</w:t>
            </w:r>
            <w:proofErr w:type="spellStart"/>
            <w:r w:rsidRPr="00B5257C">
              <w:rPr>
                <w:vanish/>
                <w:color w:val="auto"/>
              </w:rPr>
              <w:t>i</w:t>
            </w:r>
            <w:proofErr w:type="spellEnd"/>
            <w:r w:rsidRPr="00B5257C">
              <w:rPr>
                <w:vanish/>
                <w:color w:val="auto"/>
              </w:rPr>
              <w:t>&gt;</w:t>
            </w:r>
            <w:r w:rsidRPr="00B5257C">
              <w:rPr>
                <w:color w:val="auto"/>
              </w:rPr>
              <w:t>The Council’s Corporate Risk Register is currently being fully reviewed.</w:t>
            </w:r>
            <w:r w:rsidRPr="00B5257C">
              <w:rPr>
                <w:vanish/>
                <w:color w:val="auto"/>
              </w:rPr>
              <w:t>InsertRichText(GetColumn(“</w:t>
            </w:r>
            <w:r w:rsidRPr="00B5257C">
              <w:rPr>
                <w:vanish/>
                <w:color w:val="auto"/>
                <w:sz w:val="18"/>
                <w:szCs w:val="18"/>
                <w:lang w:val="en-US"/>
              </w:rPr>
              <w:t>ActionsDescription</w:t>
            </w:r>
            <w:r w:rsidRPr="00B5257C">
              <w:rPr>
                <w:vanish/>
                <w:color w:val="auto"/>
              </w:rPr>
              <w:t>”))</w:t>
            </w:r>
          </w:p>
        </w:tc>
        <w:tc>
          <w:tcPr>
            <w:tcW w:w="1268" w:type="dxa"/>
            <w:shd w:val="clear" w:color="auto" w:fill="DBCFC9" w:themeFill="background2" w:themeFillShade="E6"/>
          </w:tcPr>
          <w:p w:rsidR="00D925A0" w:rsidRPr="00B5257C" w:rsidRDefault="00D925A0" w:rsidP="007F0B5A">
            <w:pPr>
              <w:pStyle w:val="NoSpacing"/>
            </w:pPr>
            <w:r w:rsidRPr="00B5257C">
              <w:t>Bill Lewis</w:t>
            </w:r>
          </w:p>
        </w:tc>
        <w:tc>
          <w:tcPr>
            <w:tcW w:w="1639" w:type="dxa"/>
            <w:shd w:val="clear" w:color="auto" w:fill="DBCFC9" w:themeFill="background2" w:themeFillShade="E6"/>
          </w:tcPr>
          <w:p w:rsidR="00D925A0" w:rsidRPr="00B5257C" w:rsidRDefault="00D925A0" w:rsidP="007F0B5A">
            <w:pPr>
              <w:pStyle w:val="NoSpacing"/>
            </w:pPr>
            <w:r w:rsidRPr="00B5257C">
              <w:t>November 2018</w:t>
            </w:r>
          </w:p>
        </w:tc>
      </w:tr>
      <w:tr w:rsidR="009504C0" w:rsidRPr="00B5257C" w:rsidTr="009504C0">
        <w:tc>
          <w:tcPr>
            <w:tcW w:w="936" w:type="dxa"/>
            <w:shd w:val="clear" w:color="auto" w:fill="DBCFC9" w:themeFill="background2" w:themeFillShade="E6"/>
          </w:tcPr>
          <w:p w:rsidR="00D925A0" w:rsidRPr="00B5257C" w:rsidRDefault="00D925A0" w:rsidP="007F0B5A">
            <w:pPr>
              <w:pStyle w:val="NoSpacing"/>
            </w:pPr>
            <w:r w:rsidRPr="00B5257C">
              <w:t>3</w:t>
            </w:r>
          </w:p>
        </w:tc>
        <w:tc>
          <w:tcPr>
            <w:tcW w:w="3170" w:type="dxa"/>
            <w:shd w:val="clear" w:color="auto" w:fill="DBCFC9" w:themeFill="background2" w:themeFillShade="E6"/>
          </w:tcPr>
          <w:p w:rsidR="00D925A0" w:rsidRPr="00B5257C" w:rsidRDefault="00D925A0" w:rsidP="007F0B5A">
            <w:pPr>
              <w:pStyle w:val="NoSpacing"/>
              <w:rPr>
                <w:b/>
                <w:color w:val="000000"/>
                <w:szCs w:val="20"/>
              </w:rPr>
            </w:pPr>
            <w:r w:rsidRPr="00B5257C">
              <w:rPr>
                <w:b/>
                <w:color w:val="000000"/>
                <w:szCs w:val="20"/>
              </w:rPr>
              <w:t>Service Risk Registers</w:t>
            </w:r>
          </w:p>
          <w:p w:rsidR="00D925A0" w:rsidRPr="00B5257C" w:rsidRDefault="00D925A0" w:rsidP="007F0B5A">
            <w:pPr>
              <w:pStyle w:val="NoSpacing"/>
              <w:rPr>
                <w:color w:val="000000"/>
                <w:szCs w:val="20"/>
              </w:rPr>
            </w:pPr>
          </w:p>
          <w:p w:rsidR="00D925A0" w:rsidRPr="00B5257C" w:rsidRDefault="00D925A0" w:rsidP="007F0B5A">
            <w:pPr>
              <w:pStyle w:val="NoSpacing"/>
            </w:pPr>
            <w:r w:rsidRPr="00B5257C">
              <w:rPr>
                <w:color w:val="000000"/>
                <w:szCs w:val="20"/>
              </w:rPr>
              <w:t>It is recommended that each Service review its Service Risk Register. Where relevant, risks should be reworded and mitigating controls should be SMART. The re-established Risk Group should analyse the reviewed SRRs to identify any gaps or risks that should be closed, challenge any risk ratings they feel may not be appropriate, and include any relevant SRR risks as wider CRR risks.</w:t>
            </w:r>
          </w:p>
        </w:tc>
        <w:tc>
          <w:tcPr>
            <w:tcW w:w="2763" w:type="dxa"/>
            <w:shd w:val="clear" w:color="auto" w:fill="DBCFC9" w:themeFill="background2" w:themeFillShade="E6"/>
          </w:tcPr>
          <w:p w:rsidR="00D925A0" w:rsidRPr="00B5257C" w:rsidRDefault="00D925A0" w:rsidP="007F0B5A">
            <w:pPr>
              <w:pStyle w:val="NoSpacing"/>
            </w:pPr>
            <w:r w:rsidRPr="00B5257C">
              <w:t>Each service is required to review its risk register every year.  This is the responsibility of the Head of Service.  The risk group will review risk registers on a rolling programme.</w:t>
            </w:r>
          </w:p>
        </w:tc>
        <w:tc>
          <w:tcPr>
            <w:tcW w:w="1268" w:type="dxa"/>
            <w:shd w:val="clear" w:color="auto" w:fill="DBCFC9" w:themeFill="background2" w:themeFillShade="E6"/>
          </w:tcPr>
          <w:p w:rsidR="00D925A0" w:rsidRPr="00B5257C" w:rsidRDefault="00D925A0" w:rsidP="007F0B5A">
            <w:pPr>
              <w:pStyle w:val="NoSpacing"/>
            </w:pPr>
            <w:r w:rsidRPr="00B5257C">
              <w:t>Alison Nash</w:t>
            </w:r>
          </w:p>
        </w:tc>
        <w:tc>
          <w:tcPr>
            <w:tcW w:w="1639" w:type="dxa"/>
            <w:shd w:val="clear" w:color="auto" w:fill="DBCFC9" w:themeFill="background2" w:themeFillShade="E6"/>
          </w:tcPr>
          <w:p w:rsidR="00D925A0" w:rsidRPr="00B5257C" w:rsidRDefault="00D925A0" w:rsidP="007F0B5A">
            <w:pPr>
              <w:pStyle w:val="NoSpacing"/>
            </w:pPr>
            <w:r w:rsidRPr="00B5257C">
              <w:t>November 2018</w:t>
            </w:r>
          </w:p>
        </w:tc>
      </w:tr>
      <w:tr w:rsidR="009504C0" w:rsidRPr="00B5257C" w:rsidTr="009504C0">
        <w:tc>
          <w:tcPr>
            <w:tcW w:w="936" w:type="dxa"/>
            <w:shd w:val="clear" w:color="auto" w:fill="DBCFC9" w:themeFill="background2" w:themeFillShade="E6"/>
          </w:tcPr>
          <w:p w:rsidR="00D925A0" w:rsidRPr="00B5257C" w:rsidRDefault="00D925A0" w:rsidP="007F0B5A">
            <w:pPr>
              <w:pStyle w:val="NoSpacing"/>
            </w:pPr>
            <w:r w:rsidRPr="00B5257C">
              <w:t>4</w:t>
            </w:r>
          </w:p>
        </w:tc>
        <w:tc>
          <w:tcPr>
            <w:tcW w:w="3170" w:type="dxa"/>
            <w:shd w:val="clear" w:color="auto" w:fill="DBCFC9" w:themeFill="background2" w:themeFillShade="E6"/>
          </w:tcPr>
          <w:p w:rsidR="00D925A0" w:rsidRPr="00B5257C" w:rsidRDefault="00D925A0" w:rsidP="00D925A0">
            <w:pPr>
              <w:widowControl w:val="0"/>
              <w:autoSpaceDE w:val="0"/>
              <w:autoSpaceDN w:val="0"/>
              <w:adjustRightInd w:val="0"/>
              <w:rPr>
                <w:b/>
                <w:color w:val="000000"/>
              </w:rPr>
            </w:pPr>
            <w:r w:rsidRPr="00B5257C">
              <w:rPr>
                <w:b/>
                <w:color w:val="000000"/>
              </w:rPr>
              <w:t>Project and Partnership Risks</w:t>
            </w:r>
          </w:p>
          <w:p w:rsidR="00D925A0" w:rsidRPr="00B5257C" w:rsidRDefault="00D925A0" w:rsidP="00D925A0">
            <w:pPr>
              <w:widowControl w:val="0"/>
              <w:autoSpaceDE w:val="0"/>
              <w:autoSpaceDN w:val="0"/>
              <w:adjustRightInd w:val="0"/>
              <w:rPr>
                <w:color w:val="000000"/>
              </w:rPr>
            </w:pPr>
          </w:p>
          <w:p w:rsidR="00D925A0" w:rsidRPr="00B5257C" w:rsidRDefault="00D925A0" w:rsidP="00D925A0">
            <w:pPr>
              <w:widowControl w:val="0"/>
              <w:autoSpaceDE w:val="0"/>
              <w:autoSpaceDN w:val="0"/>
              <w:adjustRightInd w:val="0"/>
              <w:rPr>
                <w:color w:val="000000"/>
              </w:rPr>
            </w:pPr>
            <w:r w:rsidRPr="00B5257C">
              <w:rPr>
                <w:color w:val="000000"/>
              </w:rPr>
              <w:t xml:space="preserve">It is recommended that the Council assesses how best to </w:t>
            </w:r>
            <w:r w:rsidRPr="00B5257C">
              <w:rPr>
                <w:color w:val="000000"/>
              </w:rPr>
              <w:lastRenderedPageBreak/>
              <w:t>integrate project and partnership risk registers with the SRRs/CRR risk management process, to allow increased transparency of cross-cutting risks.  There are different ways to do this and the Council is best placed to decide how it would like to approach it, but some thoughts are provided in the report.</w:t>
            </w:r>
          </w:p>
          <w:p w:rsidR="00D925A0" w:rsidRPr="00B5257C" w:rsidRDefault="00D925A0" w:rsidP="00D925A0">
            <w:pPr>
              <w:widowControl w:val="0"/>
              <w:autoSpaceDE w:val="0"/>
              <w:autoSpaceDN w:val="0"/>
              <w:adjustRightInd w:val="0"/>
              <w:rPr>
                <w:color w:val="000000"/>
                <w:szCs w:val="20"/>
              </w:rPr>
            </w:pPr>
          </w:p>
          <w:p w:rsidR="00D925A0" w:rsidRPr="00B5257C" w:rsidRDefault="00D925A0" w:rsidP="00D925A0">
            <w:pPr>
              <w:widowControl w:val="0"/>
              <w:autoSpaceDE w:val="0"/>
              <w:autoSpaceDN w:val="0"/>
              <w:adjustRightInd w:val="0"/>
              <w:rPr>
                <w:color w:val="000000"/>
                <w:szCs w:val="20"/>
              </w:rPr>
            </w:pPr>
            <w:r w:rsidRPr="00B5257C">
              <w:rPr>
                <w:color w:val="000000"/>
                <w:szCs w:val="20"/>
              </w:rPr>
              <w:t xml:space="preserve">The Risk Management Strategy should state what the Council’s expectations for risk management with regard to projects and partnerships are. For example, a standardised risk management process for partnerships could be included in all Service Level Agreements / contracts. This would include setting out a process for risk identification at the beginning of a project, both from the Council’s perspective, and as a joined up perspective with the partner organisation. </w:t>
            </w:r>
          </w:p>
          <w:p w:rsidR="00D925A0" w:rsidRPr="00B5257C" w:rsidRDefault="00D925A0" w:rsidP="007F0B5A">
            <w:pPr>
              <w:pStyle w:val="NoSpacing"/>
            </w:pPr>
          </w:p>
        </w:tc>
        <w:tc>
          <w:tcPr>
            <w:tcW w:w="2763" w:type="dxa"/>
            <w:shd w:val="clear" w:color="auto" w:fill="DBCFC9" w:themeFill="background2" w:themeFillShade="E6"/>
          </w:tcPr>
          <w:p w:rsidR="00D925A0" w:rsidRPr="00B5257C" w:rsidRDefault="00D925A0" w:rsidP="007F0B5A">
            <w:pPr>
              <w:pStyle w:val="NoSpacing"/>
            </w:pPr>
            <w:r w:rsidRPr="00B5257C">
              <w:lastRenderedPageBreak/>
              <w:t xml:space="preserve">Partnerships and projects are managed within services and risks will appear within the relevant </w:t>
            </w:r>
            <w:r w:rsidRPr="00B5257C">
              <w:lastRenderedPageBreak/>
              <w:t>risk register if appropriate.  Significant partnerships – i.e. Fusion – have a joint risk register and these will be reviewed by the Risk Group.  (NB this has happened in the past).  Major projects will now also be reviewed by the risk group.</w:t>
            </w:r>
          </w:p>
        </w:tc>
        <w:tc>
          <w:tcPr>
            <w:tcW w:w="1268" w:type="dxa"/>
            <w:shd w:val="clear" w:color="auto" w:fill="DBCFC9" w:themeFill="background2" w:themeFillShade="E6"/>
          </w:tcPr>
          <w:p w:rsidR="00D925A0" w:rsidRPr="00B5257C" w:rsidRDefault="00D925A0" w:rsidP="007F0B5A">
            <w:pPr>
              <w:pStyle w:val="NoSpacing"/>
            </w:pPr>
            <w:r w:rsidRPr="00B5257C">
              <w:lastRenderedPageBreak/>
              <w:t>Bill Lewis</w:t>
            </w:r>
          </w:p>
        </w:tc>
        <w:tc>
          <w:tcPr>
            <w:tcW w:w="1639" w:type="dxa"/>
            <w:shd w:val="clear" w:color="auto" w:fill="DBCFC9" w:themeFill="background2" w:themeFillShade="E6"/>
          </w:tcPr>
          <w:p w:rsidR="00D925A0" w:rsidRPr="00B5257C" w:rsidRDefault="00D925A0" w:rsidP="007F0B5A">
            <w:pPr>
              <w:pStyle w:val="NoSpacing"/>
            </w:pPr>
            <w:r w:rsidRPr="00B5257C">
              <w:t>November 2018</w:t>
            </w:r>
          </w:p>
        </w:tc>
      </w:tr>
      <w:tr w:rsidR="009504C0" w:rsidRPr="00B5257C" w:rsidTr="009504C0">
        <w:tc>
          <w:tcPr>
            <w:tcW w:w="936" w:type="dxa"/>
            <w:shd w:val="clear" w:color="auto" w:fill="DBCFC9" w:themeFill="background2" w:themeFillShade="E6"/>
          </w:tcPr>
          <w:p w:rsidR="00D925A0" w:rsidRPr="00B5257C" w:rsidRDefault="00D925A0" w:rsidP="00D925A0">
            <w:pPr>
              <w:pStyle w:val="NoSpacing"/>
            </w:pPr>
            <w:r w:rsidRPr="00B5257C">
              <w:lastRenderedPageBreak/>
              <w:t>5</w:t>
            </w:r>
          </w:p>
        </w:tc>
        <w:tc>
          <w:tcPr>
            <w:tcW w:w="3170" w:type="dxa"/>
            <w:shd w:val="clear" w:color="auto" w:fill="DBCFC9" w:themeFill="background2" w:themeFillShade="E6"/>
          </w:tcPr>
          <w:p w:rsidR="00D925A0" w:rsidRPr="00B5257C" w:rsidRDefault="00D925A0" w:rsidP="00D925A0">
            <w:pPr>
              <w:widowControl w:val="0"/>
              <w:autoSpaceDE w:val="0"/>
              <w:autoSpaceDN w:val="0"/>
              <w:adjustRightInd w:val="0"/>
              <w:rPr>
                <w:rFonts w:eastAsia="Times New Roman"/>
                <w:b/>
                <w:color w:val="000000"/>
                <w:szCs w:val="20"/>
              </w:rPr>
            </w:pPr>
            <w:r w:rsidRPr="00B5257C">
              <w:rPr>
                <w:rFonts w:eastAsia="Times New Roman"/>
                <w:b/>
                <w:color w:val="000000"/>
                <w:szCs w:val="20"/>
              </w:rPr>
              <w:t>Management Review and Monitoring of Risks</w:t>
            </w:r>
          </w:p>
          <w:p w:rsidR="00D925A0" w:rsidRPr="00B5257C" w:rsidRDefault="00D925A0" w:rsidP="00D925A0">
            <w:pPr>
              <w:widowControl w:val="0"/>
              <w:autoSpaceDE w:val="0"/>
              <w:autoSpaceDN w:val="0"/>
              <w:adjustRightInd w:val="0"/>
              <w:rPr>
                <w:rFonts w:eastAsia="Times New Roman"/>
                <w:color w:val="000000"/>
                <w:szCs w:val="20"/>
              </w:rPr>
            </w:pPr>
          </w:p>
          <w:p w:rsidR="00D925A0" w:rsidRPr="00B5257C" w:rsidRDefault="00D925A0" w:rsidP="00D925A0">
            <w:pPr>
              <w:widowControl w:val="0"/>
              <w:autoSpaceDE w:val="0"/>
              <w:autoSpaceDN w:val="0"/>
              <w:adjustRightInd w:val="0"/>
              <w:rPr>
                <w:rFonts w:eastAsia="Times New Roman"/>
                <w:color w:val="000000"/>
                <w:szCs w:val="20"/>
              </w:rPr>
            </w:pPr>
            <w:r w:rsidRPr="00B5257C">
              <w:rPr>
                <w:rFonts w:eastAsia="Times New Roman"/>
                <w:color w:val="000000"/>
                <w:szCs w:val="20"/>
              </w:rPr>
              <w:t xml:space="preserve">The corporate risk register should be a standing agenda item at the SMT meetings on a quarterly basis, per the Strategy. Discussion should include considering the reasons for any changes in risk ratings, the appropriateness of the risk ratings, whether the Service Heads/Directors believe there is anything missing from the CRR and monitoring the effectiveness of the controls in place. </w:t>
            </w:r>
          </w:p>
          <w:p w:rsidR="00D925A0" w:rsidRPr="00B5257C" w:rsidRDefault="00D925A0" w:rsidP="00D925A0">
            <w:pPr>
              <w:pStyle w:val="NoSpacing"/>
            </w:pPr>
          </w:p>
        </w:tc>
        <w:tc>
          <w:tcPr>
            <w:tcW w:w="2763" w:type="dxa"/>
            <w:shd w:val="clear" w:color="auto" w:fill="DBCFC9" w:themeFill="background2" w:themeFillShade="E6"/>
          </w:tcPr>
          <w:p w:rsidR="00D925A0" w:rsidRPr="00B5257C" w:rsidRDefault="00D925A0" w:rsidP="00D925A0">
            <w:pPr>
              <w:pStyle w:val="TabletextL"/>
              <w:rPr>
                <w:color w:val="auto"/>
              </w:rPr>
            </w:pPr>
            <w:r w:rsidRPr="00B5257C">
              <w:rPr>
                <w:color w:val="auto"/>
              </w:rPr>
              <w:t>This will be discussed and implemented if feasible</w:t>
            </w:r>
            <w:r w:rsidRPr="00B5257C">
              <w:rPr>
                <w:vanish/>
                <w:color w:val="auto"/>
              </w:rPr>
              <w:t>&lt;D_1&gt;Insert(</w:t>
            </w:r>
            <w:proofErr w:type="spellStart"/>
            <w:r w:rsidRPr="00B5257C">
              <w:rPr>
                <w:vanish/>
                <w:color w:val="auto"/>
              </w:rPr>
              <w:t>GetColumn</w:t>
            </w:r>
            <w:proofErr w:type="spellEnd"/>
            <w:r w:rsidRPr="00B5257C">
              <w:rPr>
                <w:vanish/>
                <w:color w:val="auto"/>
              </w:rPr>
              <w:t>(“</w:t>
            </w:r>
            <w:proofErr w:type="spellStart"/>
            <w:r w:rsidRPr="00B5257C">
              <w:rPr>
                <w:vanish/>
                <w:color w:val="auto"/>
              </w:rPr>
              <w:t>ActionsRef</w:t>
            </w:r>
            <w:proofErr w:type="spellEnd"/>
            <w:r w:rsidRPr="00B5257C">
              <w:rPr>
                <w:vanish/>
                <w:color w:val="auto"/>
              </w:rPr>
              <w:t>”))&lt;</w:t>
            </w:r>
            <w:proofErr w:type="spellStart"/>
            <w:r w:rsidRPr="00B5257C">
              <w:rPr>
                <w:vanish/>
                <w:color w:val="auto"/>
              </w:rPr>
              <w:t>i</w:t>
            </w:r>
            <w:proofErr w:type="spellEnd"/>
            <w:r w:rsidRPr="00B5257C">
              <w:rPr>
                <w:vanish/>
                <w:color w:val="auto"/>
              </w:rPr>
              <w:t>&gt;&lt;/</w:t>
            </w:r>
            <w:proofErr w:type="spellStart"/>
            <w:r w:rsidRPr="00B5257C">
              <w:rPr>
                <w:vanish/>
                <w:color w:val="auto"/>
              </w:rPr>
              <w:t>i</w:t>
            </w:r>
            <w:proofErr w:type="spellEnd"/>
            <w:r w:rsidRPr="00B5257C">
              <w:rPr>
                <w:vanish/>
                <w:color w:val="auto"/>
              </w:rPr>
              <w:t>&gt;</w:t>
            </w:r>
            <w:r w:rsidRPr="00B5257C">
              <w:rPr>
                <w:color w:val="auto"/>
              </w:rPr>
              <w:t xml:space="preserve"> </w:t>
            </w:r>
          </w:p>
          <w:p w:rsidR="00D925A0" w:rsidRPr="00B5257C" w:rsidRDefault="00D925A0" w:rsidP="00D925A0">
            <w:pPr>
              <w:pStyle w:val="TabletextL"/>
            </w:pPr>
            <w:proofErr w:type="spellStart"/>
            <w:r w:rsidRPr="00B5257C">
              <w:rPr>
                <w:vanish/>
              </w:rPr>
              <w:t>InsertRichText</w:t>
            </w:r>
            <w:proofErr w:type="spellEnd"/>
            <w:r w:rsidRPr="00B5257C">
              <w:rPr>
                <w:vanish/>
              </w:rPr>
              <w:t>(</w:t>
            </w:r>
            <w:proofErr w:type="spellStart"/>
            <w:r w:rsidRPr="00B5257C">
              <w:rPr>
                <w:vanish/>
              </w:rPr>
              <w:t>GetColumn</w:t>
            </w:r>
            <w:proofErr w:type="spellEnd"/>
            <w:r w:rsidRPr="00B5257C">
              <w:rPr>
                <w:vanish/>
              </w:rPr>
              <w:t>(“</w:t>
            </w:r>
            <w:proofErr w:type="spellStart"/>
            <w:r w:rsidRPr="00B5257C">
              <w:rPr>
                <w:vanish/>
                <w:sz w:val="18"/>
                <w:szCs w:val="18"/>
                <w:lang w:val="en-US"/>
              </w:rPr>
              <w:t>ActionsDescription</w:t>
            </w:r>
            <w:proofErr w:type="spellEnd"/>
            <w:r w:rsidRPr="00B5257C">
              <w:rPr>
                <w:vanish/>
              </w:rPr>
              <w:t>”))</w:t>
            </w:r>
          </w:p>
        </w:tc>
        <w:tc>
          <w:tcPr>
            <w:tcW w:w="1268" w:type="dxa"/>
            <w:shd w:val="clear" w:color="auto" w:fill="DBCFC9" w:themeFill="background2" w:themeFillShade="E6"/>
          </w:tcPr>
          <w:p w:rsidR="00D925A0" w:rsidRPr="00B5257C" w:rsidRDefault="00D925A0" w:rsidP="00D925A0">
            <w:pPr>
              <w:pStyle w:val="NoSpacing"/>
            </w:pPr>
            <w:r w:rsidRPr="00B5257C">
              <w:t>Bill Lewis</w:t>
            </w:r>
          </w:p>
        </w:tc>
        <w:tc>
          <w:tcPr>
            <w:tcW w:w="1639" w:type="dxa"/>
            <w:shd w:val="clear" w:color="auto" w:fill="DBCFC9" w:themeFill="background2" w:themeFillShade="E6"/>
          </w:tcPr>
          <w:p w:rsidR="00D925A0" w:rsidRPr="00B5257C" w:rsidRDefault="00D925A0" w:rsidP="00D925A0">
            <w:pPr>
              <w:pStyle w:val="NoSpacing"/>
            </w:pPr>
            <w:r w:rsidRPr="00B5257C">
              <w:t>December 2018</w:t>
            </w:r>
          </w:p>
        </w:tc>
      </w:tr>
      <w:tr w:rsidR="009504C0" w:rsidRPr="00B5257C" w:rsidTr="009504C0">
        <w:tc>
          <w:tcPr>
            <w:tcW w:w="936" w:type="dxa"/>
            <w:shd w:val="clear" w:color="auto" w:fill="DBCFC9" w:themeFill="background2" w:themeFillShade="E6"/>
          </w:tcPr>
          <w:p w:rsidR="00D925A0" w:rsidRPr="00B5257C" w:rsidRDefault="00D925A0" w:rsidP="00D925A0">
            <w:pPr>
              <w:pStyle w:val="NoSpacing"/>
            </w:pPr>
            <w:r w:rsidRPr="00B5257C">
              <w:t>6</w:t>
            </w:r>
          </w:p>
        </w:tc>
        <w:tc>
          <w:tcPr>
            <w:tcW w:w="3170" w:type="dxa"/>
            <w:shd w:val="clear" w:color="auto" w:fill="DBCFC9" w:themeFill="background2" w:themeFillShade="E6"/>
          </w:tcPr>
          <w:p w:rsidR="00D925A0" w:rsidRPr="00B5257C" w:rsidRDefault="00D925A0" w:rsidP="00D925A0">
            <w:pPr>
              <w:pStyle w:val="NormalXX"/>
              <w:rPr>
                <w:b/>
                <w:color w:val="000000"/>
              </w:rPr>
            </w:pPr>
            <w:r w:rsidRPr="00B5257C">
              <w:rPr>
                <w:b/>
                <w:color w:val="000000"/>
              </w:rPr>
              <w:t>Training</w:t>
            </w:r>
          </w:p>
          <w:p w:rsidR="00D925A0" w:rsidRPr="00B5257C" w:rsidRDefault="00D925A0" w:rsidP="00D925A0">
            <w:pPr>
              <w:pStyle w:val="NormalXX"/>
              <w:rPr>
                <w:caps/>
              </w:rPr>
            </w:pPr>
          </w:p>
          <w:p w:rsidR="00D925A0" w:rsidRPr="00B5257C" w:rsidRDefault="00D925A0" w:rsidP="00D925A0">
            <w:pPr>
              <w:pStyle w:val="NormalXX"/>
            </w:pPr>
            <w:r w:rsidRPr="00B5257C">
              <w:rPr>
                <w:caps/>
                <w:vanish/>
              </w:rPr>
              <w:t>&lt;Name_H_5&gt;</w:t>
            </w:r>
            <w:r w:rsidRPr="00B5257C">
              <w:rPr>
                <w:vanish/>
              </w:rPr>
              <w:t xml:space="preserve"> </w:t>
            </w:r>
            <w:proofErr w:type="spellStart"/>
            <w:proofErr w:type="gramStart"/>
            <w:r w:rsidRPr="00B5257C">
              <w:rPr>
                <w:vanish/>
              </w:rPr>
              <w:t>InsertRichText</w:t>
            </w:r>
            <w:proofErr w:type="spellEnd"/>
            <w:r w:rsidRPr="00B5257C">
              <w:rPr>
                <w:vanish/>
              </w:rPr>
              <w:t>(</w:t>
            </w:r>
            <w:proofErr w:type="spellStart"/>
            <w:proofErr w:type="gramEnd"/>
            <w:r w:rsidRPr="00B5257C">
              <w:rPr>
                <w:vanish/>
              </w:rPr>
              <w:t>GetColumn</w:t>
            </w:r>
            <w:proofErr w:type="spellEnd"/>
            <w:r w:rsidRPr="00B5257C">
              <w:rPr>
                <w:vanish/>
              </w:rPr>
              <w:t>(“Recommendation”))</w:t>
            </w:r>
            <w:r w:rsidRPr="00B5257C">
              <w:t xml:space="preserve">The Council should provide a risk management training session within the next six-eight months. This could be provided either by internal staff or external risk management specialists. </w:t>
            </w:r>
          </w:p>
          <w:p w:rsidR="00D925A0" w:rsidRPr="00B5257C" w:rsidRDefault="00D925A0" w:rsidP="00D925A0">
            <w:pPr>
              <w:pStyle w:val="NormalXX"/>
            </w:pPr>
            <w:r w:rsidRPr="00B5257C">
              <w:lastRenderedPageBreak/>
              <w:t>This would help address some of the issues identified by the survey and our interviews, such as:</w:t>
            </w:r>
          </w:p>
          <w:p w:rsidR="00D925A0" w:rsidRPr="00B5257C" w:rsidRDefault="00D925A0" w:rsidP="00D925A0">
            <w:pPr>
              <w:pStyle w:val="NormalXX"/>
            </w:pPr>
          </w:p>
          <w:p w:rsidR="00D925A0" w:rsidRPr="00B5257C" w:rsidRDefault="00D925A0" w:rsidP="00D925A0">
            <w:pPr>
              <w:pStyle w:val="NormalXX"/>
              <w:numPr>
                <w:ilvl w:val="0"/>
                <w:numId w:val="5"/>
              </w:numPr>
            </w:pPr>
            <w:r w:rsidRPr="00B5257C">
              <w:t>Ensuring staff are confident and consistent about what is meant by 'current' and 'residual' risk, and if the target risk score element is to be introduced, clarifying this process</w:t>
            </w:r>
          </w:p>
          <w:p w:rsidR="00D925A0" w:rsidRPr="00B5257C" w:rsidRDefault="00D925A0" w:rsidP="00D925A0">
            <w:pPr>
              <w:pStyle w:val="NormalXX"/>
              <w:numPr>
                <w:ilvl w:val="0"/>
                <w:numId w:val="4"/>
              </w:numPr>
            </w:pPr>
            <w:r w:rsidRPr="00B5257C">
              <w:t xml:space="preserve">How to word risks </w:t>
            </w:r>
          </w:p>
          <w:p w:rsidR="00D925A0" w:rsidRPr="00B5257C" w:rsidRDefault="00D925A0" w:rsidP="00D925A0">
            <w:pPr>
              <w:pStyle w:val="NormalXX"/>
              <w:numPr>
                <w:ilvl w:val="0"/>
                <w:numId w:val="4"/>
              </w:numPr>
            </w:pPr>
            <w:r w:rsidRPr="00B5257C">
              <w:t>How to write SMART mitigating controls</w:t>
            </w:r>
          </w:p>
          <w:p w:rsidR="00D925A0" w:rsidRPr="00B5257C" w:rsidRDefault="00D925A0" w:rsidP="00D925A0">
            <w:pPr>
              <w:pStyle w:val="NormalXX"/>
              <w:numPr>
                <w:ilvl w:val="0"/>
                <w:numId w:val="4"/>
              </w:numPr>
            </w:pPr>
            <w:r w:rsidRPr="00B5257C">
              <w:t>How the risk escalation process works</w:t>
            </w:r>
          </w:p>
          <w:p w:rsidR="00D925A0" w:rsidRPr="00B5257C" w:rsidRDefault="00D925A0" w:rsidP="00D925A0">
            <w:pPr>
              <w:pStyle w:val="NormalXX"/>
              <w:numPr>
                <w:ilvl w:val="0"/>
                <w:numId w:val="4"/>
              </w:numPr>
            </w:pPr>
            <w:r w:rsidRPr="00B5257C">
              <w:t>What the Council's general risk appetite is</w:t>
            </w:r>
          </w:p>
          <w:p w:rsidR="00D925A0" w:rsidRPr="00B5257C" w:rsidRDefault="00D925A0" w:rsidP="00D925A0">
            <w:pPr>
              <w:pStyle w:val="NormalXX"/>
              <w:numPr>
                <w:ilvl w:val="0"/>
                <w:numId w:val="4"/>
              </w:numPr>
            </w:pPr>
            <w:r w:rsidRPr="00B5257C">
              <w:t>More detail on when risks should turn red, to ensure that the CEB has a clear view of risks that need more scrutiny within a reasonable time-frame.</w:t>
            </w:r>
          </w:p>
          <w:p w:rsidR="00D925A0" w:rsidRPr="00B5257C" w:rsidRDefault="00D925A0" w:rsidP="00D925A0">
            <w:pPr>
              <w:pStyle w:val="NoSpacing"/>
            </w:pPr>
          </w:p>
        </w:tc>
        <w:tc>
          <w:tcPr>
            <w:tcW w:w="2763" w:type="dxa"/>
            <w:shd w:val="clear" w:color="auto" w:fill="DBCFC9" w:themeFill="background2" w:themeFillShade="E6"/>
          </w:tcPr>
          <w:p w:rsidR="00D925A0" w:rsidRPr="00B5257C" w:rsidRDefault="00D925A0" w:rsidP="00D925A0">
            <w:pPr>
              <w:pStyle w:val="TabletextL"/>
              <w:rPr>
                <w:color w:val="auto"/>
              </w:rPr>
            </w:pPr>
            <w:r w:rsidRPr="00B5257C">
              <w:rPr>
                <w:vanish/>
                <w:color w:val="auto"/>
              </w:rPr>
              <w:lastRenderedPageBreak/>
              <w:t>&lt;D_1&gt;</w:t>
            </w:r>
            <w:proofErr w:type="gramStart"/>
            <w:r w:rsidRPr="00B5257C">
              <w:rPr>
                <w:vanish/>
                <w:color w:val="auto"/>
              </w:rPr>
              <w:t>Insert(</w:t>
            </w:r>
            <w:proofErr w:type="spellStart"/>
            <w:proofErr w:type="gramEnd"/>
            <w:r w:rsidRPr="00B5257C">
              <w:rPr>
                <w:vanish/>
                <w:color w:val="auto"/>
              </w:rPr>
              <w:t>GetColumn</w:t>
            </w:r>
            <w:proofErr w:type="spellEnd"/>
            <w:r w:rsidRPr="00B5257C">
              <w:rPr>
                <w:vanish/>
                <w:color w:val="auto"/>
              </w:rPr>
              <w:t>(“</w:t>
            </w:r>
            <w:proofErr w:type="spellStart"/>
            <w:r w:rsidRPr="00B5257C">
              <w:rPr>
                <w:vanish/>
                <w:color w:val="auto"/>
              </w:rPr>
              <w:t>ActionsRef</w:t>
            </w:r>
            <w:proofErr w:type="spellEnd"/>
            <w:r w:rsidRPr="00B5257C">
              <w:rPr>
                <w:vanish/>
                <w:color w:val="auto"/>
              </w:rPr>
              <w:t>”))&lt;</w:t>
            </w:r>
            <w:proofErr w:type="spellStart"/>
            <w:r w:rsidRPr="00B5257C">
              <w:rPr>
                <w:vanish/>
                <w:color w:val="auto"/>
              </w:rPr>
              <w:t>i</w:t>
            </w:r>
            <w:proofErr w:type="spellEnd"/>
            <w:r w:rsidRPr="00B5257C">
              <w:rPr>
                <w:vanish/>
                <w:color w:val="auto"/>
              </w:rPr>
              <w:t>&gt;&lt;/</w:t>
            </w:r>
            <w:proofErr w:type="spellStart"/>
            <w:r w:rsidRPr="00B5257C">
              <w:rPr>
                <w:vanish/>
                <w:color w:val="auto"/>
              </w:rPr>
              <w:t>i</w:t>
            </w:r>
            <w:proofErr w:type="spellEnd"/>
            <w:r w:rsidRPr="00B5257C">
              <w:rPr>
                <w:vanish/>
                <w:color w:val="auto"/>
              </w:rPr>
              <w:t>&gt;</w:t>
            </w:r>
            <w:r w:rsidRPr="00B5257C">
              <w:rPr>
                <w:color w:val="auto"/>
              </w:rPr>
              <w:t xml:space="preserve">Risk management has already been added onto the member training programme for the autumn. Staff training will be provided and will investigate whether it can be compulsory for all people entering onto </w:t>
            </w:r>
            <w:proofErr w:type="spellStart"/>
            <w:r w:rsidRPr="00B5257C">
              <w:rPr>
                <w:color w:val="auto"/>
              </w:rPr>
              <w:t>Corvu</w:t>
            </w:r>
            <w:proofErr w:type="spellEnd"/>
            <w:r w:rsidRPr="00B5257C">
              <w:rPr>
                <w:color w:val="auto"/>
              </w:rPr>
              <w:t xml:space="preserve"> / senior managers.</w:t>
            </w:r>
          </w:p>
          <w:p w:rsidR="00D925A0" w:rsidRPr="00B5257C" w:rsidRDefault="00D925A0" w:rsidP="00D925A0">
            <w:pPr>
              <w:pStyle w:val="TabletextL"/>
              <w:rPr>
                <w:color w:val="auto"/>
              </w:rPr>
            </w:pPr>
            <w:proofErr w:type="spellStart"/>
            <w:r w:rsidRPr="00B5257C">
              <w:rPr>
                <w:vanish/>
                <w:color w:val="auto"/>
              </w:rPr>
              <w:lastRenderedPageBreak/>
              <w:t>InsertRichText</w:t>
            </w:r>
            <w:proofErr w:type="spellEnd"/>
            <w:r w:rsidRPr="00B5257C">
              <w:rPr>
                <w:vanish/>
                <w:color w:val="auto"/>
              </w:rPr>
              <w:t>(</w:t>
            </w:r>
            <w:proofErr w:type="spellStart"/>
            <w:r w:rsidRPr="00B5257C">
              <w:rPr>
                <w:vanish/>
                <w:color w:val="auto"/>
              </w:rPr>
              <w:t>GetColumn</w:t>
            </w:r>
            <w:proofErr w:type="spellEnd"/>
            <w:r w:rsidRPr="00B5257C">
              <w:rPr>
                <w:vanish/>
                <w:color w:val="auto"/>
              </w:rPr>
              <w:t>(“</w:t>
            </w:r>
            <w:proofErr w:type="spellStart"/>
            <w:r w:rsidRPr="00B5257C">
              <w:rPr>
                <w:vanish/>
                <w:color w:val="auto"/>
                <w:sz w:val="18"/>
                <w:szCs w:val="18"/>
                <w:lang w:val="en-US"/>
              </w:rPr>
              <w:t>ActionsDescription</w:t>
            </w:r>
            <w:proofErr w:type="spellEnd"/>
            <w:r w:rsidRPr="00B5257C">
              <w:rPr>
                <w:vanish/>
                <w:color w:val="auto"/>
              </w:rPr>
              <w:t>”))</w:t>
            </w:r>
          </w:p>
        </w:tc>
        <w:tc>
          <w:tcPr>
            <w:tcW w:w="1268" w:type="dxa"/>
            <w:shd w:val="clear" w:color="auto" w:fill="DBCFC9" w:themeFill="background2" w:themeFillShade="E6"/>
          </w:tcPr>
          <w:p w:rsidR="00D925A0" w:rsidRPr="00B5257C" w:rsidRDefault="00D925A0" w:rsidP="00D925A0">
            <w:pPr>
              <w:pStyle w:val="NoSpacing"/>
            </w:pPr>
            <w:r w:rsidRPr="00B5257C">
              <w:lastRenderedPageBreak/>
              <w:t>Bill Lewis</w:t>
            </w:r>
          </w:p>
        </w:tc>
        <w:tc>
          <w:tcPr>
            <w:tcW w:w="1639" w:type="dxa"/>
            <w:shd w:val="clear" w:color="auto" w:fill="DBCFC9" w:themeFill="background2" w:themeFillShade="E6"/>
          </w:tcPr>
          <w:p w:rsidR="00D925A0" w:rsidRPr="00B5257C" w:rsidRDefault="00D925A0" w:rsidP="00D925A0">
            <w:pPr>
              <w:pStyle w:val="NoSpacing"/>
            </w:pPr>
            <w:r w:rsidRPr="00B5257C">
              <w:t>March 2019</w:t>
            </w:r>
          </w:p>
        </w:tc>
      </w:tr>
      <w:tr w:rsidR="009504C0" w:rsidRPr="00B5257C" w:rsidTr="009504C0">
        <w:tc>
          <w:tcPr>
            <w:tcW w:w="936" w:type="dxa"/>
            <w:shd w:val="clear" w:color="auto" w:fill="DBCFC9" w:themeFill="background2" w:themeFillShade="E6"/>
          </w:tcPr>
          <w:p w:rsidR="00D925A0" w:rsidRPr="00B5257C" w:rsidRDefault="00D925A0" w:rsidP="00D925A0">
            <w:pPr>
              <w:pStyle w:val="NoSpacing"/>
            </w:pPr>
            <w:r w:rsidRPr="00B5257C">
              <w:lastRenderedPageBreak/>
              <w:t>7</w:t>
            </w:r>
          </w:p>
        </w:tc>
        <w:tc>
          <w:tcPr>
            <w:tcW w:w="3170" w:type="dxa"/>
            <w:shd w:val="clear" w:color="auto" w:fill="DBCFC9" w:themeFill="background2" w:themeFillShade="E6"/>
          </w:tcPr>
          <w:p w:rsidR="00D925A0" w:rsidRPr="00B5257C" w:rsidRDefault="00D925A0" w:rsidP="00D925A0">
            <w:pPr>
              <w:pStyle w:val="NormalXX"/>
              <w:rPr>
                <w:rFonts w:cs="Arial"/>
                <w:b/>
                <w:color w:val="000000"/>
              </w:rPr>
            </w:pPr>
            <w:r w:rsidRPr="00B5257C">
              <w:rPr>
                <w:rFonts w:cs="Arial"/>
                <w:b/>
                <w:color w:val="000000"/>
              </w:rPr>
              <w:t>Risk Management Strategy</w:t>
            </w:r>
          </w:p>
          <w:p w:rsidR="00D925A0" w:rsidRPr="00B5257C" w:rsidRDefault="00D925A0" w:rsidP="00D925A0">
            <w:pPr>
              <w:pStyle w:val="NormalXX"/>
              <w:rPr>
                <w:rFonts w:cs="Arial"/>
                <w:color w:val="000000"/>
              </w:rPr>
            </w:pPr>
          </w:p>
          <w:p w:rsidR="00D925A0" w:rsidRPr="00B5257C" w:rsidRDefault="00D925A0" w:rsidP="00D925A0">
            <w:pPr>
              <w:pStyle w:val="NormalXX"/>
              <w:rPr>
                <w:lang w:val="en-US" w:eastAsia="en-US"/>
              </w:rPr>
            </w:pPr>
            <w:r w:rsidRPr="00B5257C">
              <w:rPr>
                <w:rFonts w:cs="Arial"/>
                <w:color w:val="000000"/>
              </w:rPr>
              <w:t xml:space="preserve">Management may wish to consider adding the points </w:t>
            </w:r>
            <w:proofErr w:type="gramStart"/>
            <w:r w:rsidRPr="00B5257C">
              <w:rPr>
                <w:rFonts w:cs="Arial"/>
                <w:color w:val="000000"/>
              </w:rPr>
              <w:t>raised</w:t>
            </w:r>
            <w:proofErr w:type="gramEnd"/>
            <w:r w:rsidRPr="00B5257C">
              <w:rPr>
                <w:rFonts w:cs="Arial"/>
                <w:color w:val="000000"/>
              </w:rPr>
              <w:t xml:space="preserve"> into the Risk Management Strategy.</w:t>
            </w:r>
          </w:p>
          <w:p w:rsidR="00D925A0" w:rsidRPr="00B5257C" w:rsidRDefault="00D925A0" w:rsidP="00D925A0">
            <w:pPr>
              <w:pStyle w:val="TabletextL"/>
            </w:pPr>
          </w:p>
        </w:tc>
        <w:tc>
          <w:tcPr>
            <w:tcW w:w="2763" w:type="dxa"/>
            <w:shd w:val="clear" w:color="auto" w:fill="DBCFC9" w:themeFill="background2" w:themeFillShade="E6"/>
          </w:tcPr>
          <w:p w:rsidR="00D925A0" w:rsidRPr="00B5257C" w:rsidRDefault="00B5257C" w:rsidP="00D925A0">
            <w:pPr>
              <w:pStyle w:val="NoSpacing"/>
            </w:pPr>
            <w:r w:rsidRPr="00B5257C">
              <w:t>This will be discussed by the Risk Group once established, and where the Group agrees the Risk Management Strategy will be updated.</w:t>
            </w:r>
          </w:p>
        </w:tc>
        <w:tc>
          <w:tcPr>
            <w:tcW w:w="1268" w:type="dxa"/>
            <w:shd w:val="clear" w:color="auto" w:fill="DBCFC9" w:themeFill="background2" w:themeFillShade="E6"/>
          </w:tcPr>
          <w:p w:rsidR="00D925A0" w:rsidRPr="00B5257C" w:rsidRDefault="00B5257C" w:rsidP="00D925A0">
            <w:pPr>
              <w:pStyle w:val="NoSpacing"/>
            </w:pPr>
            <w:r w:rsidRPr="00B5257C">
              <w:t xml:space="preserve">Bill Lewis </w:t>
            </w:r>
          </w:p>
        </w:tc>
        <w:tc>
          <w:tcPr>
            <w:tcW w:w="1639" w:type="dxa"/>
            <w:shd w:val="clear" w:color="auto" w:fill="DBCFC9" w:themeFill="background2" w:themeFillShade="E6"/>
          </w:tcPr>
          <w:p w:rsidR="00D925A0" w:rsidRPr="00B5257C" w:rsidRDefault="00B5257C" w:rsidP="00D925A0">
            <w:pPr>
              <w:pStyle w:val="NoSpacing"/>
            </w:pPr>
            <w:r w:rsidRPr="00B5257C">
              <w:t>November 2018</w:t>
            </w:r>
          </w:p>
        </w:tc>
      </w:tr>
      <w:tr w:rsidR="009504C0" w:rsidRPr="00B5257C" w:rsidTr="009504C0">
        <w:tc>
          <w:tcPr>
            <w:tcW w:w="936" w:type="dxa"/>
            <w:shd w:val="clear" w:color="auto" w:fill="DBCFC9" w:themeFill="background2" w:themeFillShade="E6"/>
          </w:tcPr>
          <w:p w:rsidR="00D925A0" w:rsidRPr="00B5257C" w:rsidRDefault="00D925A0" w:rsidP="00D925A0">
            <w:pPr>
              <w:pStyle w:val="NoSpacing"/>
            </w:pPr>
            <w:r w:rsidRPr="00B5257C">
              <w:t>8</w:t>
            </w:r>
          </w:p>
        </w:tc>
        <w:tc>
          <w:tcPr>
            <w:tcW w:w="3170" w:type="dxa"/>
            <w:shd w:val="clear" w:color="auto" w:fill="DBCFC9" w:themeFill="background2" w:themeFillShade="E6"/>
          </w:tcPr>
          <w:p w:rsidR="00D925A0" w:rsidRPr="00B5257C" w:rsidRDefault="00D925A0" w:rsidP="00D925A0">
            <w:pPr>
              <w:pStyle w:val="NoSpacing"/>
              <w:rPr>
                <w:b/>
              </w:rPr>
            </w:pPr>
            <w:r w:rsidRPr="00B5257C">
              <w:rPr>
                <w:b/>
              </w:rPr>
              <w:t>Assessing Risk Management Effectiveness</w:t>
            </w:r>
          </w:p>
          <w:p w:rsidR="00D925A0" w:rsidRPr="00B5257C" w:rsidRDefault="00D925A0" w:rsidP="00D925A0">
            <w:pPr>
              <w:pStyle w:val="NoSpacing"/>
            </w:pPr>
          </w:p>
          <w:p w:rsidR="00D925A0" w:rsidRPr="00B5257C" w:rsidRDefault="00D925A0" w:rsidP="00D925A0">
            <w:pPr>
              <w:pStyle w:val="NoSpacing"/>
            </w:pPr>
            <w:r w:rsidRPr="00B5257C">
              <w:t xml:space="preserve">The Council could analyse the changes in the risk registers over the year (on an annual basis) to identify: where risks have crystallised; issues have occurred where the risk wasn't identified, and any lessons learnt from this. </w:t>
            </w:r>
            <w:proofErr w:type="spellStart"/>
            <w:r w:rsidRPr="00B5257C">
              <w:t>CorVu</w:t>
            </w:r>
            <w:proofErr w:type="spellEnd"/>
            <w:r w:rsidRPr="00B5257C">
              <w:t xml:space="preserve"> reports on risk management could be generated on a bi-annual basis.  </w:t>
            </w:r>
          </w:p>
        </w:tc>
        <w:tc>
          <w:tcPr>
            <w:tcW w:w="2763" w:type="dxa"/>
            <w:shd w:val="clear" w:color="auto" w:fill="DBCFC9" w:themeFill="background2" w:themeFillShade="E6"/>
          </w:tcPr>
          <w:p w:rsidR="00D925A0" w:rsidRPr="00B5257C" w:rsidRDefault="00D925A0" w:rsidP="00D925A0">
            <w:pPr>
              <w:pStyle w:val="NoSpacing"/>
            </w:pPr>
            <w:r w:rsidRPr="00B5257C">
              <w:t>Could use Q4 as a bit more of a wrap-up of the year – overall annual summary.  Subject to comment above will look at this for 2018/19 year.</w:t>
            </w:r>
          </w:p>
        </w:tc>
        <w:tc>
          <w:tcPr>
            <w:tcW w:w="1268" w:type="dxa"/>
            <w:shd w:val="clear" w:color="auto" w:fill="DBCFC9" w:themeFill="background2" w:themeFillShade="E6"/>
          </w:tcPr>
          <w:p w:rsidR="00D925A0" w:rsidRPr="00B5257C" w:rsidRDefault="00D925A0" w:rsidP="00D925A0">
            <w:pPr>
              <w:pStyle w:val="NoSpacing"/>
            </w:pPr>
            <w:r w:rsidRPr="00B5257C">
              <w:t>Alison Nash</w:t>
            </w:r>
          </w:p>
        </w:tc>
        <w:tc>
          <w:tcPr>
            <w:tcW w:w="1639" w:type="dxa"/>
            <w:shd w:val="clear" w:color="auto" w:fill="DBCFC9" w:themeFill="background2" w:themeFillShade="E6"/>
          </w:tcPr>
          <w:p w:rsidR="00D925A0" w:rsidRPr="00B5257C" w:rsidRDefault="00D925A0" w:rsidP="00D925A0">
            <w:pPr>
              <w:pStyle w:val="NoSpacing"/>
            </w:pPr>
            <w:r w:rsidRPr="00B5257C">
              <w:t>August 2019</w:t>
            </w:r>
          </w:p>
        </w:tc>
      </w:tr>
    </w:tbl>
    <w:p w:rsidR="003A7AE1" w:rsidRDefault="003A7AE1" w:rsidP="007B11B8">
      <w:pPr>
        <w:pStyle w:val="NoSpacing"/>
      </w:pPr>
    </w:p>
    <w:p w:rsidR="003A7AE1" w:rsidRPr="00B15CBE" w:rsidRDefault="003A7AE1" w:rsidP="007B11B8">
      <w:pPr>
        <w:pStyle w:val="NoSpacing"/>
      </w:pPr>
    </w:p>
    <w:sectPr w:rsidR="003A7AE1" w:rsidRPr="00B15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3983"/>
    <w:multiLevelType w:val="hybridMultilevel"/>
    <w:tmpl w:val="B462AD0A"/>
    <w:lvl w:ilvl="0" w:tplc="74D4478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52A2D"/>
    <w:multiLevelType w:val="hybridMultilevel"/>
    <w:tmpl w:val="DAC4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4A04A6"/>
    <w:multiLevelType w:val="hybridMultilevel"/>
    <w:tmpl w:val="2ABA8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CE25F9"/>
    <w:multiLevelType w:val="hybridMultilevel"/>
    <w:tmpl w:val="E83C01C2"/>
    <w:lvl w:ilvl="0" w:tplc="C0DEACBA">
      <w:start w:val="1"/>
      <w:numFmt w:val="lowerLetter"/>
      <w:lvlText w:val="%1)"/>
      <w:lvlJc w:val="left"/>
      <w:pPr>
        <w:ind w:left="360" w:hanging="360"/>
      </w:pPr>
      <w:rPr>
        <w:rFonts w:ascii="Trebuchet MS" w:hAnsi="Trebuchet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81A2A51"/>
    <w:multiLevelType w:val="hybridMultilevel"/>
    <w:tmpl w:val="328E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E1"/>
    <w:rsid w:val="002973BC"/>
    <w:rsid w:val="002A0901"/>
    <w:rsid w:val="003A7AE1"/>
    <w:rsid w:val="00606560"/>
    <w:rsid w:val="007B11B8"/>
    <w:rsid w:val="007F0B5A"/>
    <w:rsid w:val="00865348"/>
    <w:rsid w:val="009504C0"/>
    <w:rsid w:val="009F1C33"/>
    <w:rsid w:val="00AA5D34"/>
    <w:rsid w:val="00B15CBE"/>
    <w:rsid w:val="00B5257C"/>
    <w:rsid w:val="00CD3411"/>
    <w:rsid w:val="00D92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01"/>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901"/>
    <w:pPr>
      <w:spacing w:after="0" w:line="240" w:lineRule="auto"/>
    </w:pPr>
    <w:rPr>
      <w:rFonts w:ascii="Trebuchet MS" w:hAnsi="Trebuchet MS"/>
      <w:sz w:val="20"/>
    </w:rPr>
  </w:style>
  <w:style w:type="table" w:styleId="TableGrid">
    <w:name w:val="Table Grid"/>
    <w:basedOn w:val="TableNormal"/>
    <w:uiPriority w:val="59"/>
    <w:rsid w:val="003A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XX">
    <w:name w:val="NormalXX"/>
    <w:rsid w:val="003A7AE1"/>
    <w:pPr>
      <w:widowControl w:val="0"/>
      <w:autoSpaceDE w:val="0"/>
      <w:autoSpaceDN w:val="0"/>
      <w:adjustRightInd w:val="0"/>
      <w:spacing w:after="0" w:line="240" w:lineRule="auto"/>
    </w:pPr>
    <w:rPr>
      <w:rFonts w:ascii="Trebuchet MS" w:eastAsia="Times New Roman" w:hAnsi="Trebuchet MS" w:cs="Trebuchet MS"/>
      <w:sz w:val="20"/>
      <w:szCs w:val="20"/>
      <w:lang w:eastAsia="en-GB"/>
    </w:rPr>
  </w:style>
  <w:style w:type="paragraph" w:customStyle="1" w:styleId="TabletextL">
    <w:name w:val="Table text (L)"/>
    <w:basedOn w:val="Normal"/>
    <w:uiPriority w:val="99"/>
    <w:qFormat/>
    <w:rsid w:val="007F0B5A"/>
    <w:pPr>
      <w:spacing w:before="40" w:after="40" w:line="240" w:lineRule="auto"/>
    </w:pPr>
    <w:rPr>
      <w:rFonts w:eastAsia="Times New Roman" w:cs="Times New Roman"/>
      <w:color w:val="685040"/>
      <w:kern w:val="16"/>
      <w:szCs w:val="24"/>
      <w:lang w:eastAsia="en-GB"/>
    </w:rPr>
  </w:style>
  <w:style w:type="paragraph" w:styleId="ListParagraph">
    <w:name w:val="List Paragraph"/>
    <w:basedOn w:val="Normal"/>
    <w:uiPriority w:val="34"/>
    <w:qFormat/>
    <w:rsid w:val="00D925A0"/>
    <w:pPr>
      <w:spacing w:before="200"/>
      <w:ind w:left="720"/>
      <w:contextualSpacing/>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01"/>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901"/>
    <w:pPr>
      <w:spacing w:after="0" w:line="240" w:lineRule="auto"/>
    </w:pPr>
    <w:rPr>
      <w:rFonts w:ascii="Trebuchet MS" w:hAnsi="Trebuchet MS"/>
      <w:sz w:val="20"/>
    </w:rPr>
  </w:style>
  <w:style w:type="table" w:styleId="TableGrid">
    <w:name w:val="Table Grid"/>
    <w:basedOn w:val="TableNormal"/>
    <w:uiPriority w:val="59"/>
    <w:rsid w:val="003A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XX">
    <w:name w:val="NormalXX"/>
    <w:rsid w:val="003A7AE1"/>
    <w:pPr>
      <w:widowControl w:val="0"/>
      <w:autoSpaceDE w:val="0"/>
      <w:autoSpaceDN w:val="0"/>
      <w:adjustRightInd w:val="0"/>
      <w:spacing w:after="0" w:line="240" w:lineRule="auto"/>
    </w:pPr>
    <w:rPr>
      <w:rFonts w:ascii="Trebuchet MS" w:eastAsia="Times New Roman" w:hAnsi="Trebuchet MS" w:cs="Trebuchet MS"/>
      <w:sz w:val="20"/>
      <w:szCs w:val="20"/>
      <w:lang w:eastAsia="en-GB"/>
    </w:rPr>
  </w:style>
  <w:style w:type="paragraph" w:customStyle="1" w:styleId="TabletextL">
    <w:name w:val="Table text (L)"/>
    <w:basedOn w:val="Normal"/>
    <w:uiPriority w:val="99"/>
    <w:qFormat/>
    <w:rsid w:val="007F0B5A"/>
    <w:pPr>
      <w:spacing w:before="40" w:after="40" w:line="240" w:lineRule="auto"/>
    </w:pPr>
    <w:rPr>
      <w:rFonts w:eastAsia="Times New Roman" w:cs="Times New Roman"/>
      <w:color w:val="685040"/>
      <w:kern w:val="16"/>
      <w:szCs w:val="24"/>
      <w:lang w:eastAsia="en-GB"/>
    </w:rPr>
  </w:style>
  <w:style w:type="paragraph" w:styleId="ListParagraph">
    <w:name w:val="List Paragraph"/>
    <w:basedOn w:val="Normal"/>
    <w:uiPriority w:val="34"/>
    <w:qFormat/>
    <w:rsid w:val="00D925A0"/>
    <w:pPr>
      <w:spacing w:before="200"/>
      <w:ind w:left="72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DO">
      <a:dk1>
        <a:sysClr val="windowText" lastClr="000000"/>
      </a:dk1>
      <a:lt1>
        <a:srgbClr val="FFFFFF"/>
      </a:lt1>
      <a:dk2>
        <a:srgbClr val="685040"/>
      </a:dk2>
      <a:lt2>
        <a:srgbClr val="EEE8E5"/>
      </a:lt2>
      <a:accent1>
        <a:srgbClr val="ED1A3B"/>
      </a:accent1>
      <a:accent2>
        <a:srgbClr val="2EAFA4"/>
      </a:accent2>
      <a:accent3>
        <a:srgbClr val="98002E"/>
      </a:accent3>
      <a:accent4>
        <a:srgbClr val="62CAE3"/>
      </a:accent4>
      <a:accent5>
        <a:srgbClr val="D1108C"/>
      </a:accent5>
      <a:accent6>
        <a:srgbClr val="685040"/>
      </a:accent6>
      <a:hlink>
        <a:srgbClr val="62CAE3"/>
      </a:hlink>
      <a:folHlink>
        <a:srgbClr val="62CAE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3ACB97CF.dotm</Template>
  <TotalTime>1</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Thomas</dc:creator>
  <cp:lastModifiedBy>blewis</cp:lastModifiedBy>
  <cp:revision>3</cp:revision>
  <dcterms:created xsi:type="dcterms:W3CDTF">2018-10-23T11:20:00Z</dcterms:created>
  <dcterms:modified xsi:type="dcterms:W3CDTF">2018-10-23T11:20:00Z</dcterms:modified>
</cp:coreProperties>
</file>